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F37A619" w14:textId="5B67FD8D" w:rsidR="004F05E7" w:rsidRPr="00467DC3" w:rsidRDefault="004F05E7" w:rsidP="004F05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 w:rsidR="005A2FD2">
        <w:rPr>
          <w:b/>
          <w:noProof/>
          <w:sz w:val="24"/>
        </w:rPr>
        <w:t>100</w:t>
      </w:r>
      <w:r w:rsidRPr="00467DC3">
        <w:rPr>
          <w:b/>
          <w:noProof/>
          <w:sz w:val="24"/>
        </w:rPr>
        <w:t>-e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1</w:t>
      </w:r>
      <w:r w:rsidR="00D62D3D">
        <w:rPr>
          <w:b/>
          <w:i/>
          <w:noProof/>
          <w:sz w:val="28"/>
        </w:rPr>
        <w:t>1</w:t>
      </w:r>
      <w:r w:rsidR="007B5910">
        <w:rPr>
          <w:b/>
          <w:i/>
          <w:noProof/>
          <w:sz w:val="28"/>
        </w:rPr>
        <w:t>3753</w:t>
      </w:r>
    </w:p>
    <w:p w14:paraId="74EBFA8D" w14:textId="572AA717" w:rsidR="004F05E7" w:rsidRPr="00467DC3" w:rsidRDefault="004F05E7" w:rsidP="004F05E7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 w:rsidR="005A2FD2">
        <w:rPr>
          <w:sz w:val="24"/>
        </w:rPr>
        <w:t>August</w:t>
      </w:r>
      <w:r w:rsidR="00C96CF4">
        <w:rPr>
          <w:sz w:val="24"/>
        </w:rPr>
        <w:t xml:space="preserve"> 1</w:t>
      </w:r>
      <w:r w:rsidR="005A2FD2">
        <w:rPr>
          <w:sz w:val="24"/>
        </w:rPr>
        <w:t>6</w:t>
      </w:r>
      <w:r w:rsidR="00C96CF4" w:rsidRPr="00C96CF4">
        <w:rPr>
          <w:sz w:val="24"/>
          <w:vertAlign w:val="superscript"/>
        </w:rPr>
        <w:t>th</w:t>
      </w:r>
      <w:r w:rsidR="00C96CF4">
        <w:rPr>
          <w:sz w:val="24"/>
        </w:rPr>
        <w:t>-27</w:t>
      </w:r>
      <w:r w:rsidR="00C96CF4" w:rsidRPr="00C96CF4">
        <w:rPr>
          <w:sz w:val="24"/>
          <w:vertAlign w:val="superscript"/>
        </w:rPr>
        <w:t>th</w:t>
      </w:r>
      <w:r>
        <w:rPr>
          <w:sz w:val="24"/>
        </w:rPr>
        <w:t>,</w:t>
      </w:r>
      <w:r w:rsidRPr="00467DC3">
        <w:rPr>
          <w:sz w:val="24"/>
        </w:rPr>
        <w:t xml:space="preserve"> 202</w:t>
      </w:r>
      <w:r>
        <w:rPr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41A42D06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48500C">
        <w:t>1</w:t>
      </w:r>
      <w:r w:rsidR="0083440F">
        <w:t xml:space="preserve">900MHz </w:t>
      </w:r>
      <w:r w:rsidR="002A1A17">
        <w:t xml:space="preserve">RMR </w:t>
      </w:r>
      <w:r w:rsidR="0083440F">
        <w:t xml:space="preserve">band – </w:t>
      </w:r>
      <w:r w:rsidR="00606C6B">
        <w:t>UE</w:t>
      </w:r>
      <w:r w:rsidR="0083440F">
        <w:t xml:space="preserve"> RF</w:t>
      </w:r>
    </w:p>
    <w:p w14:paraId="38171D17" w14:textId="4C929C24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83440F">
        <w:t>8.</w:t>
      </w:r>
      <w:r w:rsidR="0048500C">
        <w:t>5</w:t>
      </w:r>
      <w:r w:rsidR="0083440F">
        <w:t>.</w:t>
      </w:r>
      <w:r w:rsidR="00606C6B">
        <w:t>2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0E09512B" w14:textId="3CB66A48" w:rsidR="003240BC" w:rsidRDefault="003240BC" w:rsidP="003240BC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</w:t>
      </w:r>
      <w:r w:rsidR="0048500C">
        <w:rPr>
          <w:rFonts w:eastAsia="MS Mincho"/>
          <w:lang w:val="en-US" w:eastAsia="ja-JP"/>
        </w:rPr>
        <w:t>1</w:t>
      </w:r>
      <w:r w:rsidR="001A2834">
        <w:rPr>
          <w:rFonts w:eastAsia="MS Mincho"/>
          <w:lang w:val="en-US" w:eastAsia="ja-JP"/>
        </w:rPr>
        <w:t>900MHz NR band for European RMR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 xml:space="preserve">has been </w:t>
      </w:r>
      <w:r w:rsidR="001A2834">
        <w:rPr>
          <w:rFonts w:eastAsia="MS Mincho"/>
          <w:lang w:val="en-US" w:eastAsia="ja-JP"/>
        </w:rPr>
        <w:t xml:space="preserve">revised </w:t>
      </w:r>
      <w:r w:rsidRPr="00C647B4">
        <w:rPr>
          <w:rFonts w:eastAsia="MS Mincho"/>
          <w:lang w:val="en-US" w:eastAsia="ja-JP"/>
        </w:rPr>
        <w:t>in RAN#</w:t>
      </w:r>
      <w:r w:rsidR="001A2834">
        <w:rPr>
          <w:rFonts w:eastAsia="MS Mincho"/>
          <w:lang w:val="en-US" w:eastAsia="ja-JP"/>
        </w:rPr>
        <w:t>92</w:t>
      </w:r>
      <w:r>
        <w:rPr>
          <w:rFonts w:eastAsia="MS Mincho"/>
          <w:lang w:val="en-US" w:eastAsia="ja-JP"/>
        </w:rPr>
        <w:t>e</w:t>
      </w:r>
      <w:r w:rsidRPr="00C647B4">
        <w:rPr>
          <w:rFonts w:eastAsia="MS Mincho"/>
          <w:lang w:val="en-US" w:eastAsia="ja-JP"/>
        </w:rPr>
        <w:t xml:space="preserve"> meeting to </w:t>
      </w:r>
      <w:r w:rsidR="001A2834">
        <w:rPr>
          <w:rFonts w:eastAsia="MS Mincho"/>
          <w:lang w:val="en-US" w:eastAsia="ja-JP"/>
        </w:rPr>
        <w:t xml:space="preserve">introduce a new </w:t>
      </w:r>
      <w:r w:rsidR="0048500C">
        <w:rPr>
          <w:rFonts w:eastAsia="MS Mincho"/>
          <w:lang w:val="en-US" w:eastAsia="ja-JP"/>
        </w:rPr>
        <w:t>1</w:t>
      </w:r>
      <w:r w:rsidR="001A2834">
        <w:rPr>
          <w:rFonts w:eastAsia="MS Mincho"/>
          <w:lang w:val="en-US" w:eastAsia="ja-JP"/>
        </w:rPr>
        <w:t xml:space="preserve">900MHz </w:t>
      </w:r>
      <w:r w:rsidR="00771038">
        <w:rPr>
          <w:rFonts w:eastAsia="MS Mincho"/>
          <w:lang w:val="en-US" w:eastAsia="ja-JP"/>
        </w:rPr>
        <w:t>band for</w:t>
      </w:r>
      <w:r w:rsidR="001A2834">
        <w:rPr>
          <w:rFonts w:eastAsia="MS Mincho"/>
          <w:lang w:val="en-US" w:eastAsia="ja-JP"/>
        </w:rPr>
        <w:t xml:space="preserve"> Railway in Europe</w:t>
      </w:r>
      <w:r w:rsidRPr="00C647B4">
        <w:rPr>
          <w:rFonts w:eastAsia="MS Mincho"/>
          <w:lang w:val="en-US" w:eastAsia="ja-JP"/>
        </w:rPr>
        <w:t xml:space="preserve">. </w:t>
      </w:r>
    </w:p>
    <w:p w14:paraId="5A995C85" w14:textId="0DD3D47B" w:rsidR="003240BC" w:rsidRDefault="001A2834" w:rsidP="003240BC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After some i</w:t>
      </w:r>
      <w:r w:rsidR="003240BC">
        <w:rPr>
          <w:rFonts w:eastAsia="MS Mincho"/>
          <w:lang w:val="en-US" w:eastAsia="ja-JP"/>
        </w:rPr>
        <w:t>n</w:t>
      </w:r>
      <w:r>
        <w:rPr>
          <w:rFonts w:eastAsia="MS Mincho"/>
          <w:lang w:val="en-US" w:eastAsia="ja-JP"/>
        </w:rPr>
        <w:t xml:space="preserve">itial discussion </w:t>
      </w:r>
      <w:r w:rsidR="003240BC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in </w:t>
      </w:r>
      <w:r w:rsidR="003240BC">
        <w:rPr>
          <w:rFonts w:eastAsia="MS Mincho"/>
          <w:lang w:val="en-US" w:eastAsia="ja-JP"/>
        </w:rPr>
        <w:t xml:space="preserve">last RAN4#99-e meeting, </w:t>
      </w:r>
      <w:r>
        <w:rPr>
          <w:rFonts w:eastAsia="MS Mincho"/>
          <w:lang w:val="en-US" w:eastAsia="ja-JP"/>
        </w:rPr>
        <w:t>t</w:t>
      </w:r>
      <w:r w:rsidR="003240BC">
        <w:rPr>
          <w:rFonts w:eastAsia="MS Mincho"/>
          <w:lang w:val="en-US" w:eastAsia="ja-JP"/>
        </w:rPr>
        <w:t>his contribution is further</w:t>
      </w:r>
      <w:r>
        <w:rPr>
          <w:rFonts w:eastAsia="MS Mincho"/>
          <w:lang w:val="en-US" w:eastAsia="ja-JP"/>
        </w:rPr>
        <w:t xml:space="preserve"> addressing the UE RF aspects for this new band</w:t>
      </w:r>
      <w:r w:rsidR="003240BC">
        <w:rPr>
          <w:rFonts w:eastAsia="MS Mincho"/>
          <w:lang w:val="en-US" w:eastAsia="ja-JP"/>
        </w:rPr>
        <w:t>.</w:t>
      </w:r>
    </w:p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136B843F" w14:textId="5B554144" w:rsidR="00F567E1" w:rsidRDefault="00D34DE1" w:rsidP="00F668D7">
      <w:pPr>
        <w:pStyle w:val="Heading2"/>
      </w:pPr>
      <w:r>
        <w:t xml:space="preserve">ECC Decision(20)02 </w:t>
      </w:r>
    </w:p>
    <w:p w14:paraId="70B5C79C" w14:textId="4186FD9F" w:rsidR="00D34DE1" w:rsidRDefault="00D34DE1" w:rsidP="00D34DE1">
      <w:pPr>
        <w:rPr>
          <w:lang w:val="en-GB"/>
        </w:rPr>
      </w:pPr>
      <w:r>
        <w:rPr>
          <w:lang w:val="en-GB"/>
        </w:rPr>
        <w:t xml:space="preserve">The technical conditions for RMR terminals other than cab-radios are given in Annex A2.3 of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_Ref78381882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p w14:paraId="66B795DC" w14:textId="77777777" w:rsidR="00D34DE1" w:rsidRPr="00EC5DF1" w:rsidRDefault="00D34DE1" w:rsidP="00D34DE1">
      <w:pPr>
        <w:pStyle w:val="ECCParagraph"/>
        <w:spacing w:before="240" w:after="60"/>
        <w:jc w:val="center"/>
      </w:pPr>
      <w:r w:rsidRPr="00EC5DF1">
        <w:t>For radio access technologies other than GSM-R, the following parameter</w:t>
      </w:r>
      <w:r>
        <w:t>s</w:t>
      </w:r>
      <w:r w:rsidRPr="00EC5DF1">
        <w:t xml:space="preserve"> appl</w:t>
      </w:r>
      <w:r>
        <w:t>y</w:t>
      </w:r>
      <w:r w:rsidRPr="00EC5DF1">
        <w:t>:</w:t>
      </w:r>
    </w:p>
    <w:p w14:paraId="2BFD15AE" w14:textId="77777777" w:rsidR="00D34DE1" w:rsidRPr="00EC5DF1" w:rsidRDefault="00D34DE1" w:rsidP="00D34DE1">
      <w:pPr>
        <w:pStyle w:val="ECCBulletsLv1"/>
        <w:jc w:val="center"/>
      </w:pPr>
      <w:r>
        <w:t>Maximum o</w:t>
      </w:r>
      <w:r w:rsidRPr="00EC5DF1">
        <w:t>utput power: 23 dBm</w:t>
      </w:r>
      <w:r>
        <w:t>;</w:t>
      </w:r>
    </w:p>
    <w:p w14:paraId="2735783F" w14:textId="77777777" w:rsidR="00D34DE1" w:rsidRDefault="00D34DE1" w:rsidP="00D34DE1">
      <w:pPr>
        <w:pStyle w:val="ECCBulletsLv1"/>
        <w:jc w:val="center"/>
      </w:pPr>
      <w:r>
        <w:t>ACLR: 30 dB minimum;</w:t>
      </w:r>
    </w:p>
    <w:p w14:paraId="4952E007" w14:textId="77777777" w:rsidR="00D34DE1" w:rsidRPr="00752D4D" w:rsidRDefault="00D34DE1" w:rsidP="00D34DE1">
      <w:pPr>
        <w:pStyle w:val="ECCBulletsLv1"/>
        <w:jc w:val="center"/>
      </w:pPr>
      <w:r>
        <w:t>Uplink p</w:t>
      </w:r>
      <w:r w:rsidRPr="00752D4D">
        <w:t>ower control</w:t>
      </w:r>
      <w:r>
        <w:t xml:space="preserve"> is mandatory and shall be activated.</w:t>
      </w:r>
    </w:p>
    <w:p w14:paraId="6969BADF" w14:textId="77777777" w:rsidR="00D34DE1" w:rsidRDefault="00D34DE1" w:rsidP="00D34DE1">
      <w:pPr>
        <w:rPr>
          <w:lang w:val="en-GB"/>
        </w:rPr>
      </w:pPr>
    </w:p>
    <w:p w14:paraId="72BC9506" w14:textId="4E21566E" w:rsidR="00D34DE1" w:rsidRDefault="00D34DE1" w:rsidP="00D34DE1">
      <w:pPr>
        <w:rPr>
          <w:lang w:val="en-GB"/>
        </w:rPr>
      </w:pPr>
      <w:r>
        <w:rPr>
          <w:lang w:val="en-GB"/>
        </w:rPr>
        <w:t>According to TS 38.101-1, those requirements are already covered by PC3 NR UE.</w:t>
      </w:r>
    </w:p>
    <w:p w14:paraId="14778513" w14:textId="77777777" w:rsidR="00605EFB" w:rsidRDefault="00D34DE1" w:rsidP="00605EFB">
      <w:pPr>
        <w:rPr>
          <w:lang w:val="en-GB"/>
        </w:rPr>
      </w:pPr>
      <w:r>
        <w:rPr>
          <w:lang w:val="en-GB"/>
        </w:rPr>
        <w:t xml:space="preserve">Noting that cab-radio is not in the scope of the RMR </w:t>
      </w:r>
      <w:r w:rsidR="0048500C">
        <w:rPr>
          <w:lang w:val="en-GB"/>
        </w:rPr>
        <w:t>1</w:t>
      </w:r>
      <w:r>
        <w:rPr>
          <w:lang w:val="en-GB"/>
        </w:rPr>
        <w:t>900MHz WI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_Ref71039956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), the impacts </w:t>
      </w:r>
      <w:r w:rsidR="00785B95">
        <w:rPr>
          <w:lang w:val="en-GB"/>
        </w:rPr>
        <w:t>in</w:t>
      </w:r>
      <w:r>
        <w:rPr>
          <w:lang w:val="en-GB"/>
        </w:rPr>
        <w:t xml:space="preserve"> TS 38.101-1 are including the new band in the list of operating bands, adding its system parameters </w:t>
      </w:r>
      <w:r w:rsidR="00605EFB">
        <w:rPr>
          <w:lang w:val="en-GB"/>
        </w:rPr>
        <w:t>and the usual limits when introducing a new band, when relevant (e.g. REFSENS, …).</w:t>
      </w:r>
    </w:p>
    <w:p w14:paraId="69FDB863" w14:textId="37A99EA0" w:rsidR="00605EFB" w:rsidRPr="00785B95" w:rsidRDefault="00605EFB" w:rsidP="00605EFB">
      <w:pPr>
        <w:rPr>
          <w:b/>
          <w:bCs/>
          <w:lang w:val="en-GB"/>
        </w:rPr>
      </w:pPr>
      <w:r w:rsidRPr="00785B95">
        <w:rPr>
          <w:b/>
          <w:bCs/>
          <w:lang w:val="en-GB"/>
        </w:rPr>
        <w:t xml:space="preserve">Proposal: When specifying the new </w:t>
      </w:r>
      <w:r>
        <w:rPr>
          <w:b/>
          <w:bCs/>
          <w:lang w:val="en-GB"/>
        </w:rPr>
        <w:t>1</w:t>
      </w:r>
      <w:r w:rsidRPr="00785B95">
        <w:rPr>
          <w:b/>
          <w:bCs/>
          <w:lang w:val="en-GB"/>
        </w:rPr>
        <w:t xml:space="preserve">900 MHz RMR band, no </w:t>
      </w:r>
      <w:r>
        <w:rPr>
          <w:b/>
          <w:bCs/>
          <w:lang w:val="en-GB"/>
        </w:rPr>
        <w:t xml:space="preserve">additional </w:t>
      </w:r>
      <w:r w:rsidRPr="00785B95">
        <w:rPr>
          <w:b/>
          <w:bCs/>
          <w:lang w:val="en-GB"/>
        </w:rPr>
        <w:t>requirement to that band should be introduced in TS 38.101-1</w:t>
      </w:r>
      <w:r>
        <w:rPr>
          <w:b/>
          <w:bCs/>
          <w:lang w:val="en-GB"/>
        </w:rPr>
        <w:t>, only the usual limits should be updated accordingly when relevant (e.g. REFSENS, …).</w:t>
      </w:r>
    </w:p>
    <w:p w14:paraId="4C6DF8A2" w14:textId="77777777" w:rsidR="003726D6" w:rsidRDefault="003726D6">
      <w:pPr>
        <w:spacing w:after="0" w:line="240" w:lineRule="auto"/>
        <w:rPr>
          <w:b/>
          <w:bCs/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736F57E1" w14:textId="4A535695" w:rsidR="00785B95" w:rsidRDefault="00785B95" w:rsidP="00785B95">
      <w:pPr>
        <w:spacing w:after="120"/>
        <w:jc w:val="both"/>
      </w:pPr>
      <w:r w:rsidRPr="00467DC3">
        <w:t>In this contribution,</w:t>
      </w:r>
      <w:r>
        <w:t xml:space="preserve"> we studied the impacts of introducing the </w:t>
      </w:r>
      <w:r w:rsidR="0048500C">
        <w:t>1</w:t>
      </w:r>
      <w:r>
        <w:t xml:space="preserve">900MHz RMR band in TS 38.101-1, based on ECC Decision (20)02. We made the following proposal: </w:t>
      </w:r>
    </w:p>
    <w:p w14:paraId="0086B17A" w14:textId="77777777" w:rsidR="00D37B96" w:rsidRPr="00785B95" w:rsidRDefault="00D37B96" w:rsidP="00D37B96">
      <w:pPr>
        <w:rPr>
          <w:b/>
          <w:bCs/>
          <w:lang w:val="en-GB"/>
        </w:rPr>
      </w:pPr>
      <w:r w:rsidRPr="00785B95">
        <w:rPr>
          <w:b/>
          <w:bCs/>
          <w:lang w:val="en-GB"/>
        </w:rPr>
        <w:t xml:space="preserve">Proposal: When specifying the new </w:t>
      </w:r>
      <w:r>
        <w:rPr>
          <w:b/>
          <w:bCs/>
          <w:lang w:val="en-GB"/>
        </w:rPr>
        <w:t>1</w:t>
      </w:r>
      <w:r w:rsidRPr="00785B95">
        <w:rPr>
          <w:b/>
          <w:bCs/>
          <w:lang w:val="en-GB"/>
        </w:rPr>
        <w:t xml:space="preserve">900 MHz RMR band, no </w:t>
      </w:r>
      <w:r>
        <w:rPr>
          <w:b/>
          <w:bCs/>
          <w:lang w:val="en-GB"/>
        </w:rPr>
        <w:t xml:space="preserve">additional </w:t>
      </w:r>
      <w:r w:rsidRPr="00785B95">
        <w:rPr>
          <w:b/>
          <w:bCs/>
          <w:lang w:val="en-GB"/>
        </w:rPr>
        <w:t>requirement to that band should be introduced in TS 38.101-1</w:t>
      </w:r>
      <w:r>
        <w:rPr>
          <w:b/>
          <w:bCs/>
          <w:lang w:val="en-GB"/>
        </w:rPr>
        <w:t>, only the usual limits should be updated accordingly when relevant (e.g. REFSENS, …).</w:t>
      </w:r>
    </w:p>
    <w:p w14:paraId="3EC76225" w14:textId="77777777" w:rsidR="00C73856" w:rsidRPr="00035C96" w:rsidRDefault="00C73856" w:rsidP="00EB476E">
      <w:pPr>
        <w:spacing w:after="120"/>
        <w:jc w:val="both"/>
        <w:rPr>
          <w:b/>
          <w:bCs/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lastRenderedPageBreak/>
        <w:t>References</w:t>
      </w:r>
    </w:p>
    <w:p w14:paraId="7BFBDCD4" w14:textId="10F826B5" w:rsidR="00362227" w:rsidRPr="00D34DE1" w:rsidRDefault="00362227" w:rsidP="00362227">
      <w:pPr>
        <w:numPr>
          <w:ilvl w:val="0"/>
          <w:numId w:val="9"/>
        </w:numPr>
        <w:rPr>
          <w:bCs/>
        </w:rPr>
      </w:pPr>
      <w:bookmarkStart w:id="1" w:name="_Ref71297840"/>
      <w:bookmarkStart w:id="2" w:name="_Ref71039956"/>
      <w:bookmarkStart w:id="3" w:name="_Ref61295265"/>
      <w:r w:rsidRPr="00C647B4">
        <w:t>RP-2</w:t>
      </w:r>
      <w:r w:rsidR="0083440F">
        <w:t>11495</w:t>
      </w:r>
      <w:r w:rsidRPr="00C647B4">
        <w:t xml:space="preserve">, </w:t>
      </w:r>
      <w:bookmarkEnd w:id="1"/>
      <w:r w:rsidR="0083440F">
        <w:t>I</w:t>
      </w:r>
      <w:r w:rsidR="0083440F" w:rsidRPr="00565F7F">
        <w:t>ntroduction of</w:t>
      </w:r>
      <w:r w:rsidR="0083440F">
        <w:t xml:space="preserve"> 900MHz NR band for Europe for</w:t>
      </w:r>
      <w:r w:rsidR="0083440F" w:rsidRPr="00565F7F">
        <w:t xml:space="preserve"> </w:t>
      </w:r>
      <w:r w:rsidR="0083440F">
        <w:t>Rail Mobile Radio (RMR), UIC</w:t>
      </w:r>
      <w:bookmarkEnd w:id="2"/>
      <w:bookmarkEnd w:id="3"/>
    </w:p>
    <w:p w14:paraId="1EF9F87E" w14:textId="77777777" w:rsidR="00D34DE1" w:rsidRPr="008F08DA" w:rsidRDefault="00D34DE1" w:rsidP="00D34DE1">
      <w:pPr>
        <w:numPr>
          <w:ilvl w:val="0"/>
          <w:numId w:val="9"/>
        </w:numPr>
        <w:rPr>
          <w:rFonts w:eastAsia="Batang"/>
          <w:lang w:eastAsia="zh-CN"/>
        </w:rPr>
      </w:pPr>
      <w:bookmarkStart w:id="4" w:name="_Ref78315607"/>
      <w:bookmarkStart w:id="5" w:name="_Ref78381882"/>
      <w:r w:rsidRPr="008F08DA">
        <w:rPr>
          <w:rFonts w:eastAsia="Batang"/>
          <w:lang w:eastAsia="zh-CN"/>
        </w:rPr>
        <w:t>ECC Decision(20)02,</w:t>
      </w:r>
      <w:bookmarkEnd w:id="4"/>
      <w:r w:rsidRPr="008F08DA">
        <w:rPr>
          <w:rFonts w:eastAsia="Batang"/>
          <w:lang w:eastAsia="zh-CN"/>
        </w:rPr>
        <w:t xml:space="preserve">  Harmonised use of the paired frequency bands 874.4-880.0 MHz and 919.4-925.0 MHz and of the unpaired frequency band 1900-1910 MHz for Railway Mobile Radio (RMR), 20 November 2020</w:t>
      </w:r>
      <w:bookmarkEnd w:id="5"/>
    </w:p>
    <w:p w14:paraId="09B2478E" w14:textId="77777777" w:rsidR="004471BE" w:rsidRPr="008F08DA" w:rsidRDefault="004471BE" w:rsidP="004471BE">
      <w:pPr>
        <w:numPr>
          <w:ilvl w:val="0"/>
          <w:numId w:val="9"/>
        </w:numPr>
        <w:rPr>
          <w:rFonts w:eastAsia="Batang"/>
          <w:lang w:eastAsia="zh-CN"/>
        </w:rPr>
      </w:pPr>
      <w:bookmarkStart w:id="6" w:name="_Ref78316208"/>
      <w:r w:rsidRPr="008F08DA">
        <w:rPr>
          <w:rFonts w:eastAsia="Batang"/>
          <w:lang w:eastAsia="zh-CN"/>
        </w:rPr>
        <w:t>ECC Report 314,</w:t>
      </w:r>
      <w:bookmarkEnd w:id="6"/>
      <w:r w:rsidRPr="008F08DA">
        <w:rPr>
          <w:rFonts w:eastAsia="Batang"/>
          <w:lang w:eastAsia="zh-CN"/>
        </w:rPr>
        <w:t xml:space="preserve"> Co-existence between Future Railway Mobile Communication System (FRMCS) in the frequency range 1900-1920 MHz and other applications in adjacent bands</w:t>
      </w:r>
    </w:p>
    <w:p w14:paraId="176FD7BF" w14:textId="77777777" w:rsidR="004471BE" w:rsidRPr="008F08DA" w:rsidRDefault="004471BE" w:rsidP="004471BE">
      <w:pPr>
        <w:numPr>
          <w:ilvl w:val="0"/>
          <w:numId w:val="9"/>
        </w:numPr>
        <w:rPr>
          <w:rFonts w:eastAsia="Batang"/>
          <w:lang w:eastAsia="zh-CN"/>
        </w:rPr>
      </w:pPr>
      <w:bookmarkStart w:id="7" w:name="_Ref78316216"/>
      <w:r w:rsidRPr="008F08DA">
        <w:rPr>
          <w:rFonts w:eastAsia="Batang"/>
          <w:lang w:eastAsia="zh-CN"/>
        </w:rPr>
        <w:t>ECC Report 318,</w:t>
      </w:r>
      <w:bookmarkEnd w:id="7"/>
      <w:r w:rsidRPr="008F08DA">
        <w:rPr>
          <w:rFonts w:eastAsia="Batang"/>
          <w:lang w:eastAsia="zh-CN"/>
        </w:rPr>
        <w:t xml:space="preserve"> Compatibility between RMR and MFCN in the 900 MHz range, the 1900-1920 MHz band and the 2290-2300 MHz ban</w:t>
      </w:r>
      <w:r>
        <w:rPr>
          <w:rFonts w:eastAsia="Batang"/>
          <w:lang w:eastAsia="zh-CN"/>
        </w:rPr>
        <w:t>d</w:t>
      </w:r>
    </w:p>
    <w:p w14:paraId="1AF19F0F" w14:textId="77777777" w:rsidR="00D34DE1" w:rsidRPr="00C647B4" w:rsidRDefault="00D34DE1" w:rsidP="00362227">
      <w:pPr>
        <w:numPr>
          <w:ilvl w:val="0"/>
          <w:numId w:val="9"/>
        </w:numPr>
        <w:rPr>
          <w:bCs/>
        </w:rPr>
      </w:pPr>
    </w:p>
    <w:sectPr w:rsidR="00D34DE1" w:rsidRPr="00C647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BEEACC" w14:textId="77777777" w:rsidR="0089120A" w:rsidRDefault="0089120A">
      <w:r>
        <w:separator/>
      </w:r>
    </w:p>
  </w:endnote>
  <w:endnote w:type="continuationSeparator" w:id="0">
    <w:p w14:paraId="47C65460" w14:textId="77777777" w:rsidR="0089120A" w:rsidRDefault="00891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F96996" w14:textId="77777777" w:rsidR="0089120A" w:rsidRDefault="0089120A">
      <w:r>
        <w:separator/>
      </w:r>
    </w:p>
  </w:footnote>
  <w:footnote w:type="continuationSeparator" w:id="0">
    <w:p w14:paraId="331B53E7" w14:textId="77777777" w:rsidR="0089120A" w:rsidRDefault="00891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1"/>
  </w:num>
  <w:num w:numId="5">
    <w:abstractNumId w:val="9"/>
  </w:num>
  <w:num w:numId="6">
    <w:abstractNumId w:val="8"/>
  </w:num>
  <w:num w:numId="7">
    <w:abstractNumId w:val="6"/>
  </w:num>
  <w:num w:numId="8">
    <w:abstractNumId w:val="10"/>
  </w:num>
  <w:num w:numId="9">
    <w:abstractNumId w:val="15"/>
  </w:num>
  <w:num w:numId="10">
    <w:abstractNumId w:val="11"/>
  </w:num>
  <w:num w:numId="11">
    <w:abstractNumId w:val="7"/>
  </w:num>
  <w:num w:numId="12">
    <w:abstractNumId w:val="12"/>
  </w:num>
  <w:num w:numId="13">
    <w:abstractNumId w:val="14"/>
  </w:num>
  <w:num w:numId="14">
    <w:abstractNumId w:val="2"/>
  </w:num>
  <w:num w:numId="15">
    <w:abstractNumId w:val="3"/>
  </w:num>
  <w:num w:numId="1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33F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2834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6A0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A17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1BE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00C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5EFB"/>
    <w:rsid w:val="006062E9"/>
    <w:rsid w:val="00606497"/>
    <w:rsid w:val="0060674D"/>
    <w:rsid w:val="00606B06"/>
    <w:rsid w:val="00606BBD"/>
    <w:rsid w:val="00606C67"/>
    <w:rsid w:val="00606C6B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1038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5B95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910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20A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2CD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2D0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3717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4DE1"/>
    <w:rsid w:val="00D351B2"/>
    <w:rsid w:val="00D35BB8"/>
    <w:rsid w:val="00D35DD2"/>
    <w:rsid w:val="00D37847"/>
    <w:rsid w:val="00D3786F"/>
    <w:rsid w:val="00D37B96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6C3"/>
    <w:rsid w:val="00E577F9"/>
    <w:rsid w:val="00E57964"/>
    <w:rsid w:val="00E57D9B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910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B59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5910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ECCParagraph">
    <w:name w:val="ECC Paragraph"/>
    <w:basedOn w:val="Normal"/>
    <w:rsid w:val="00D34DE1"/>
    <w:pPr>
      <w:spacing w:after="240" w:line="240" w:lineRule="auto"/>
      <w:jc w:val="both"/>
    </w:pPr>
    <w:rPr>
      <w:rFonts w:eastAsia="Times New Roman" w:cs="Times New Roman"/>
      <w:szCs w:val="24"/>
      <w:lang w:val="en-GB"/>
    </w:rPr>
  </w:style>
  <w:style w:type="paragraph" w:customStyle="1" w:styleId="ECCBulletsLv1">
    <w:name w:val="ECC Bullets Lv1"/>
    <w:basedOn w:val="Normal"/>
    <w:qFormat/>
    <w:rsid w:val="00D34DE1"/>
    <w:pPr>
      <w:numPr>
        <w:numId w:val="16"/>
      </w:numPr>
      <w:tabs>
        <w:tab w:val="left" w:pos="340"/>
      </w:tabs>
      <w:spacing w:after="60" w:line="276" w:lineRule="auto"/>
      <w:contextualSpacing/>
      <w:jc w:val="both"/>
    </w:pPr>
    <w:rPr>
      <w:rFonts w:eastAsia="Calibri" w:cs="Times New Roman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8359</TotalTime>
  <Pages>2</Pages>
  <Words>378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248</cp:revision>
  <cp:lastPrinted>2001-04-23T09:30:00Z</cp:lastPrinted>
  <dcterms:created xsi:type="dcterms:W3CDTF">2020-10-15T14:48:00Z</dcterms:created>
  <dcterms:modified xsi:type="dcterms:W3CDTF">2021-08-06T12:23:00Z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